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Default="004362C5">
      <w:bookmarkStart w:id="0" w:name="_GoBack"/>
      <w:bookmarkEnd w:id="0"/>
      <w:r>
        <w:t>North Dakot</w:t>
      </w:r>
      <w:r w:rsidR="00671B4B">
        <w:t>a CoC Steering Committee Electronic Vote</w:t>
      </w:r>
    </w:p>
    <w:p w:rsidR="004362C5" w:rsidRDefault="00671B4B">
      <w:r>
        <w:t>April 28</w:t>
      </w:r>
      <w:r w:rsidR="005C2DD5">
        <w:t>, 2020</w:t>
      </w:r>
    </w:p>
    <w:p w:rsidR="004F2EBD" w:rsidRDefault="004F2EBD"/>
    <w:p w:rsidR="004F2EBD" w:rsidRDefault="004F2EBD">
      <w:r>
        <w:t>Attendees</w:t>
      </w:r>
    </w:p>
    <w:p w:rsidR="00985774" w:rsidRDefault="00985774">
      <w:pPr>
        <w:rPr>
          <w:rFonts w:ascii="Calibri" w:hAnsi="Calibri" w:cs="Calibri"/>
        </w:rPr>
      </w:pPr>
      <w:r>
        <w:t>Sarah Hasbargen,</w:t>
      </w:r>
      <w:r w:rsidR="00790A32">
        <w:t xml:space="preserve"> Region 5;</w:t>
      </w:r>
      <w:r>
        <w:t xml:space="preserve"> Erin Dahl</w:t>
      </w:r>
      <w:r w:rsidR="00790A32">
        <w:t xml:space="preserve">, At Large member; </w:t>
      </w:r>
      <w:r w:rsidR="00415BB3">
        <w:rPr>
          <w:rFonts w:ascii="Calibri" w:hAnsi="Calibri" w:cs="Calibri"/>
        </w:rPr>
        <w:t xml:space="preserve">Joey Huber, Region 7; Darianne Johnson, Region 8; </w:t>
      </w:r>
      <w:r w:rsidR="005C2DD5">
        <w:rPr>
          <w:rFonts w:ascii="Calibri" w:hAnsi="Calibri" w:cs="Calibri"/>
        </w:rPr>
        <w:t>Deb Christianson</w:t>
      </w:r>
      <w:r w:rsidR="00415BB3">
        <w:rPr>
          <w:rFonts w:ascii="Calibri" w:hAnsi="Calibri" w:cs="Calibri"/>
        </w:rPr>
        <w:t>,</w:t>
      </w:r>
      <w:r w:rsidR="00415BB3" w:rsidRPr="00790A32">
        <w:rPr>
          <w:rFonts w:ascii="Calibri" w:hAnsi="Calibri" w:cs="Calibri"/>
        </w:rPr>
        <w:t xml:space="preserve"> Region 2</w:t>
      </w:r>
      <w:r w:rsidR="005C2DD5">
        <w:rPr>
          <w:rFonts w:ascii="Calibri" w:hAnsi="Calibri" w:cs="Calibri"/>
        </w:rPr>
        <w:t xml:space="preserve">; </w:t>
      </w:r>
      <w:r w:rsidR="005C2DD5" w:rsidRPr="005C2DD5">
        <w:rPr>
          <w:rFonts w:ascii="Calibri" w:hAnsi="Calibri" w:cs="Calibri"/>
        </w:rPr>
        <w:t xml:space="preserve">Beth </w:t>
      </w:r>
      <w:proofErr w:type="spellStart"/>
      <w:r w:rsidR="005C2DD5" w:rsidRPr="005C2DD5">
        <w:rPr>
          <w:rFonts w:ascii="Calibri" w:hAnsi="Calibri" w:cs="Calibri"/>
        </w:rPr>
        <w:t>Sayler</w:t>
      </w:r>
      <w:proofErr w:type="spellEnd"/>
      <w:r w:rsidR="005C2DD5">
        <w:rPr>
          <w:rFonts w:ascii="Calibri" w:hAnsi="Calibri" w:cs="Calibri"/>
        </w:rPr>
        <w:t>, Region 3</w:t>
      </w:r>
      <w:r w:rsidR="00671B4B">
        <w:rPr>
          <w:rFonts w:ascii="Calibri" w:hAnsi="Calibri" w:cs="Calibri"/>
        </w:rPr>
        <w:t>, Katie Jo Armbrust, Region 4.</w:t>
      </w:r>
    </w:p>
    <w:p w:rsidR="00790A32" w:rsidRDefault="00790A32"/>
    <w:p w:rsidR="00790A32" w:rsidRDefault="005C2DD5" w:rsidP="00790A32">
      <w:pPr>
        <w:autoSpaceDE w:val="0"/>
        <w:autoSpaceDN w:val="0"/>
        <w:adjustRightInd w:val="0"/>
        <w:rPr>
          <w:rFonts w:ascii="Calibri" w:hAnsi="Calibri" w:cs="Calibri"/>
        </w:rPr>
      </w:pPr>
      <w:r>
        <w:rPr>
          <w:rFonts w:ascii="Calibri" w:hAnsi="Calibri" w:cs="Calibri"/>
        </w:rPr>
        <w:t>Seats Vacant: Region 1</w:t>
      </w:r>
    </w:p>
    <w:p w:rsidR="00671B4B" w:rsidRDefault="00671B4B" w:rsidP="00790A32">
      <w:pPr>
        <w:autoSpaceDE w:val="0"/>
        <w:autoSpaceDN w:val="0"/>
        <w:adjustRightInd w:val="0"/>
        <w:rPr>
          <w:rFonts w:ascii="Calibri" w:hAnsi="Calibri" w:cs="Calibri"/>
        </w:rPr>
      </w:pPr>
    </w:p>
    <w:p w:rsidR="00671B4B" w:rsidRDefault="00671B4B" w:rsidP="00790A32">
      <w:pPr>
        <w:autoSpaceDE w:val="0"/>
        <w:autoSpaceDN w:val="0"/>
        <w:adjustRightInd w:val="0"/>
        <w:rPr>
          <w:rFonts w:ascii="Calibri" w:hAnsi="Calibri" w:cs="Calibri"/>
        </w:rPr>
      </w:pPr>
      <w:r>
        <w:rPr>
          <w:rFonts w:ascii="Calibri" w:hAnsi="Calibri" w:cs="Calibri"/>
        </w:rPr>
        <w:t>Absent: David Klein, Region 6</w:t>
      </w:r>
    </w:p>
    <w:p w:rsidR="00726EB6" w:rsidRDefault="00726EB6"/>
    <w:p w:rsidR="00790A32" w:rsidRPr="00671B4B" w:rsidRDefault="00790A32">
      <w:pPr>
        <w:rPr>
          <w:rFonts w:cstheme="minorHAnsi"/>
        </w:rPr>
      </w:pPr>
      <w:r w:rsidRPr="00671B4B">
        <w:rPr>
          <w:rFonts w:cstheme="minorHAnsi"/>
        </w:rPr>
        <w:t xml:space="preserve">Electronic Vote was held on </w:t>
      </w:r>
      <w:r w:rsidR="002E4CF4">
        <w:rPr>
          <w:rFonts w:cstheme="minorHAnsi"/>
        </w:rPr>
        <w:t>April 28</w:t>
      </w:r>
      <w:r w:rsidR="005C2DD5" w:rsidRPr="00671B4B">
        <w:rPr>
          <w:rFonts w:cstheme="minorHAnsi"/>
        </w:rPr>
        <w:t>, 2020</w:t>
      </w:r>
      <w:r w:rsidR="00671B4B" w:rsidRPr="00671B4B">
        <w:rPr>
          <w:rFonts w:cstheme="minorHAnsi"/>
        </w:rPr>
        <w:t xml:space="preserve"> to approve the transfer of the ND HMIS Capacity Building Grant from NDCHP to the NDHFA. Joey made the motion, Katie Jo seconded. </w:t>
      </w:r>
      <w:r w:rsidR="00664357" w:rsidRPr="00671B4B">
        <w:rPr>
          <w:rFonts w:cstheme="minorHAnsi"/>
        </w:rPr>
        <w:t>All were in favor, motion carried.</w:t>
      </w:r>
    </w:p>
    <w:p w:rsidR="00415BB3" w:rsidRDefault="00415BB3" w:rsidP="00415BB3">
      <w:pPr>
        <w:rPr>
          <w:rFonts w:cstheme="minorHAnsi"/>
        </w:rPr>
      </w:pPr>
    </w:p>
    <w:p w:rsidR="002E4CF4" w:rsidRPr="00671B4B" w:rsidRDefault="002E4CF4" w:rsidP="00415BB3">
      <w:pPr>
        <w:rPr>
          <w:rFonts w:cstheme="minorHAnsi"/>
        </w:rPr>
      </w:pPr>
      <w:r>
        <w:rPr>
          <w:rFonts w:cstheme="minorHAnsi"/>
        </w:rPr>
        <w:t>Notes from Electronic Communication</w:t>
      </w:r>
    </w:p>
    <w:p w:rsidR="00671B4B" w:rsidRPr="002E4CF4" w:rsidRDefault="00671B4B" w:rsidP="00671B4B">
      <w:pPr>
        <w:pStyle w:val="xxmsonormal"/>
        <w:rPr>
          <w:rFonts w:asciiTheme="minorHAnsi" w:hAnsiTheme="minorHAnsi" w:cstheme="minorHAnsi"/>
          <w:i/>
          <w:sz w:val="22"/>
          <w:szCs w:val="22"/>
        </w:rPr>
      </w:pPr>
      <w:r w:rsidRPr="002E4CF4">
        <w:rPr>
          <w:rFonts w:asciiTheme="minorHAnsi" w:hAnsiTheme="minorHAnsi" w:cstheme="minorHAnsi"/>
          <w:i/>
          <w:sz w:val="22"/>
          <w:szCs w:val="22"/>
        </w:rPr>
        <w:t>As discussed at previous meetings, the NDCHP is interested and willing to transfer the ND HMIS Capacity Building Grant to the NDHFA. The NDCHP applied for this grant on behalf of the CoC in their previous role as Collaborative Applicant. Since the NDHFA took over the Collaborative Applicant role for the CoC it is logical to transfer the HMIS Capacity Building Grant to the NDHFA as well. The NDHFA is willing to take on this role.  For your reference, the HMIS Capacity Grant budget and line item deliverables are listed below.</w:t>
      </w:r>
    </w:p>
    <w:p w:rsidR="00671B4B" w:rsidRPr="002E4CF4" w:rsidRDefault="00671B4B" w:rsidP="00671B4B">
      <w:pPr>
        <w:pStyle w:val="xxmsonormal"/>
        <w:rPr>
          <w:rFonts w:asciiTheme="minorHAnsi" w:hAnsiTheme="minorHAnsi" w:cstheme="minorHAnsi"/>
          <w:i/>
          <w:sz w:val="22"/>
          <w:szCs w:val="22"/>
        </w:rPr>
      </w:pPr>
      <w:r w:rsidRPr="002E4CF4">
        <w:rPr>
          <w:rFonts w:asciiTheme="minorHAnsi" w:hAnsiTheme="minorHAnsi" w:cstheme="minorHAnsi"/>
          <w:i/>
          <w:sz w:val="22"/>
          <w:szCs w:val="22"/>
        </w:rPr>
        <w:t> </w:t>
      </w:r>
    </w:p>
    <w:p w:rsidR="00671B4B" w:rsidRPr="002E4CF4" w:rsidRDefault="00671B4B" w:rsidP="00671B4B">
      <w:pPr>
        <w:pStyle w:val="xxmsonormal"/>
        <w:rPr>
          <w:rFonts w:asciiTheme="minorHAnsi" w:hAnsiTheme="minorHAnsi" w:cstheme="minorHAnsi"/>
          <w:i/>
          <w:sz w:val="22"/>
          <w:szCs w:val="22"/>
        </w:rPr>
      </w:pPr>
      <w:r w:rsidRPr="002E4CF4">
        <w:rPr>
          <w:rFonts w:asciiTheme="minorHAnsi" w:hAnsiTheme="minorHAnsi" w:cstheme="minorHAnsi"/>
          <w:i/>
          <w:sz w:val="22"/>
          <w:szCs w:val="22"/>
        </w:rPr>
        <w:t>To move forward with the transfer, HUD requires the following 4 steps:</w:t>
      </w:r>
    </w:p>
    <w:p w:rsidR="00671B4B" w:rsidRPr="002E4CF4" w:rsidRDefault="00671B4B" w:rsidP="00671B4B">
      <w:pPr>
        <w:numPr>
          <w:ilvl w:val="0"/>
          <w:numId w:val="25"/>
        </w:numPr>
        <w:rPr>
          <w:rFonts w:eastAsia="Times New Roman" w:cstheme="minorHAnsi"/>
          <w:i/>
        </w:rPr>
      </w:pPr>
      <w:r w:rsidRPr="002E4CF4">
        <w:rPr>
          <w:rFonts w:eastAsia="Times New Roman" w:cstheme="minorHAnsi"/>
          <w:i/>
        </w:rPr>
        <w:t xml:space="preserve">The current grantee, NDCHP, submit a letter to HUD notifying them of their willingness to transfer. </w:t>
      </w:r>
    </w:p>
    <w:p w:rsidR="00671B4B" w:rsidRPr="002E4CF4" w:rsidRDefault="00671B4B" w:rsidP="00671B4B">
      <w:pPr>
        <w:numPr>
          <w:ilvl w:val="0"/>
          <w:numId w:val="25"/>
        </w:numPr>
        <w:rPr>
          <w:rFonts w:eastAsia="Times New Roman" w:cstheme="minorHAnsi"/>
          <w:i/>
        </w:rPr>
      </w:pPr>
      <w:r w:rsidRPr="002E4CF4">
        <w:rPr>
          <w:rFonts w:eastAsia="Times New Roman" w:cstheme="minorHAnsi"/>
          <w:i/>
        </w:rPr>
        <w:t>The new fiscal agent, NDHFA, submit a letter to HUD notifying them of their willingness to accept the transfer and follow the contracted grant agreement.  </w:t>
      </w:r>
    </w:p>
    <w:p w:rsidR="00671B4B" w:rsidRPr="002E4CF4" w:rsidRDefault="00671B4B" w:rsidP="00671B4B">
      <w:pPr>
        <w:numPr>
          <w:ilvl w:val="0"/>
          <w:numId w:val="25"/>
        </w:numPr>
        <w:rPr>
          <w:rFonts w:eastAsia="Times New Roman" w:cstheme="minorHAnsi"/>
          <w:i/>
        </w:rPr>
      </w:pPr>
      <w:r w:rsidRPr="002E4CF4">
        <w:rPr>
          <w:rFonts w:eastAsia="Times New Roman" w:cstheme="minorHAnsi"/>
          <w:i/>
        </w:rPr>
        <w:t>The CoC Board vote to approve the transfer.</w:t>
      </w:r>
    </w:p>
    <w:p w:rsidR="00671B4B" w:rsidRPr="002E4CF4" w:rsidRDefault="00671B4B" w:rsidP="00671B4B">
      <w:pPr>
        <w:numPr>
          <w:ilvl w:val="0"/>
          <w:numId w:val="25"/>
        </w:numPr>
        <w:rPr>
          <w:rFonts w:eastAsia="Times New Roman" w:cstheme="minorHAnsi"/>
          <w:i/>
        </w:rPr>
      </w:pPr>
      <w:r w:rsidRPr="002E4CF4">
        <w:rPr>
          <w:rFonts w:eastAsia="Times New Roman" w:cstheme="minorHAnsi"/>
          <w:i/>
        </w:rPr>
        <w:t xml:space="preserve">The CoC Board members each submit, on their agency letterhead, letters to HUD notifying them of their approval. </w:t>
      </w:r>
    </w:p>
    <w:p w:rsidR="00671B4B" w:rsidRPr="002E4CF4" w:rsidRDefault="00671B4B" w:rsidP="00671B4B">
      <w:pPr>
        <w:pStyle w:val="xxmsonormal"/>
        <w:rPr>
          <w:rFonts w:asciiTheme="minorHAnsi" w:hAnsiTheme="minorHAnsi" w:cstheme="minorHAnsi"/>
          <w:i/>
          <w:sz w:val="22"/>
          <w:szCs w:val="22"/>
        </w:rPr>
      </w:pPr>
      <w:r w:rsidRPr="002E4CF4">
        <w:rPr>
          <w:rFonts w:asciiTheme="minorHAnsi" w:hAnsiTheme="minorHAnsi" w:cstheme="minorHAnsi"/>
          <w:i/>
          <w:sz w:val="22"/>
          <w:szCs w:val="22"/>
        </w:rPr>
        <w:t> </w:t>
      </w:r>
    </w:p>
    <w:p w:rsidR="00671B4B" w:rsidRPr="002E4CF4" w:rsidRDefault="00671B4B" w:rsidP="00671B4B">
      <w:pPr>
        <w:tabs>
          <w:tab w:val="left" w:pos="720"/>
          <w:tab w:val="left" w:pos="1440"/>
          <w:tab w:val="left" w:pos="2160"/>
          <w:tab w:val="left" w:pos="2880"/>
          <w:tab w:val="left" w:pos="3600"/>
          <w:tab w:val="left" w:pos="4320"/>
          <w:tab w:val="left" w:pos="5040"/>
          <w:tab w:val="left" w:pos="5760"/>
          <w:tab w:val="left" w:pos="6720"/>
        </w:tabs>
        <w:rPr>
          <w:rFonts w:cstheme="minorHAnsi"/>
          <w:i/>
        </w:rPr>
      </w:pPr>
      <w:r w:rsidRPr="002E4CF4">
        <w:rPr>
          <w:rFonts w:cstheme="minorHAnsi"/>
          <w:i/>
        </w:rPr>
        <w:t xml:space="preserve">Director/CoC Coordinator/HMIS Leader </w:t>
      </w:r>
      <w:r w:rsidRPr="002E4CF4">
        <w:rPr>
          <w:rFonts w:cstheme="minorHAnsi"/>
          <w:i/>
        </w:rPr>
        <w:tab/>
        <w:t xml:space="preserve"> </w:t>
      </w:r>
      <w:r w:rsidRPr="002E4CF4">
        <w:rPr>
          <w:rFonts w:cstheme="minorHAnsi"/>
          <w:i/>
        </w:rPr>
        <w:tab/>
        <w:t xml:space="preserve"> </w:t>
      </w:r>
      <w:r w:rsidRPr="002E4CF4">
        <w:rPr>
          <w:rFonts w:cstheme="minorHAnsi"/>
          <w:i/>
        </w:rPr>
        <w:tab/>
      </w:r>
      <w:r w:rsidRPr="002E4CF4">
        <w:rPr>
          <w:rFonts w:cstheme="minorHAnsi"/>
          <w:i/>
        </w:rPr>
        <w:tab/>
      </w:r>
      <w:r w:rsidRPr="002E4CF4">
        <w:rPr>
          <w:rFonts w:cstheme="minorHAnsi"/>
          <w:i/>
        </w:rPr>
        <w:tab/>
      </w:r>
      <w:r w:rsidRPr="002E4CF4">
        <w:rPr>
          <w:rFonts w:ascii="Arial" w:hAnsi="Arial" w:cs="Arial"/>
          <w:i/>
          <w:color w:val="000000"/>
          <w:sz w:val="20"/>
          <w:szCs w:val="20"/>
        </w:rPr>
        <w:t>Who funds support?</w:t>
      </w:r>
    </w:p>
    <w:p w:rsidR="00671B4B" w:rsidRPr="002E4CF4" w:rsidRDefault="00671B4B" w:rsidP="00671B4B">
      <w:pPr>
        <w:rPr>
          <w:rFonts w:cstheme="minorHAnsi"/>
          <w:i/>
        </w:rPr>
      </w:pPr>
      <w:r w:rsidRPr="002E4CF4">
        <w:rPr>
          <w:rFonts w:cstheme="minorHAnsi"/>
          <w:i/>
        </w:rPr>
        <w:t xml:space="preserve">    Basic HMIS End User Training &amp; needs assessment</w:t>
      </w:r>
      <w:r w:rsidRPr="002E4CF4">
        <w:rPr>
          <w:rFonts w:cstheme="minorHAnsi"/>
          <w:i/>
        </w:rPr>
        <w:tab/>
        <w:t>16,000</w:t>
      </w:r>
      <w:r w:rsidRPr="002E4CF4">
        <w:rPr>
          <w:rFonts w:cstheme="minorHAnsi"/>
          <w:i/>
        </w:rPr>
        <w:tab/>
      </w:r>
      <w:r w:rsidRPr="002E4CF4">
        <w:rPr>
          <w:rFonts w:cstheme="minorHAnsi"/>
          <w:i/>
        </w:rPr>
        <w:tab/>
        <w:t>CoC staff/consultant</w:t>
      </w:r>
    </w:p>
    <w:p w:rsidR="00671B4B" w:rsidRPr="002E4CF4" w:rsidRDefault="00671B4B" w:rsidP="00671B4B">
      <w:pPr>
        <w:rPr>
          <w:rFonts w:cstheme="minorHAnsi"/>
          <w:i/>
        </w:rPr>
      </w:pPr>
      <w:r w:rsidRPr="002E4CF4">
        <w:rPr>
          <w:rFonts w:cstheme="minorHAnsi"/>
          <w:i/>
        </w:rPr>
        <w:t xml:space="preserve">    HMIS List Clean-up and creation of statewide CE list</w:t>
      </w:r>
      <w:r w:rsidRPr="002E4CF4">
        <w:rPr>
          <w:rFonts w:cstheme="minorHAnsi"/>
          <w:i/>
        </w:rPr>
        <w:tab/>
        <w:t>10,000</w:t>
      </w:r>
      <w:r w:rsidRPr="002E4CF4">
        <w:rPr>
          <w:rFonts w:cstheme="minorHAnsi"/>
          <w:i/>
        </w:rPr>
        <w:tab/>
      </w:r>
      <w:r w:rsidRPr="002E4CF4">
        <w:rPr>
          <w:rFonts w:cstheme="minorHAnsi"/>
          <w:i/>
        </w:rPr>
        <w:tab/>
        <w:t>Priority List Manager</w:t>
      </w:r>
    </w:p>
    <w:p w:rsidR="00671B4B" w:rsidRPr="002E4CF4" w:rsidRDefault="00671B4B" w:rsidP="00671B4B">
      <w:pPr>
        <w:rPr>
          <w:rFonts w:cstheme="minorHAnsi"/>
          <w:i/>
        </w:rPr>
      </w:pPr>
      <w:r w:rsidRPr="002E4CF4">
        <w:rPr>
          <w:rFonts w:cstheme="minorHAnsi"/>
          <w:i/>
        </w:rPr>
        <w:t xml:space="preserve">    Governance Structure Plan</w:t>
      </w:r>
      <w:r w:rsidRPr="002E4CF4">
        <w:rPr>
          <w:rFonts w:cstheme="minorHAnsi"/>
          <w:i/>
        </w:rPr>
        <w:tab/>
        <w:t>4,330</w:t>
      </w:r>
      <w:r w:rsidRPr="002E4CF4">
        <w:rPr>
          <w:rFonts w:cstheme="minorHAnsi"/>
          <w:i/>
        </w:rPr>
        <w:tab/>
      </w:r>
      <w:r w:rsidRPr="002E4CF4">
        <w:rPr>
          <w:rFonts w:cstheme="minorHAnsi"/>
          <w:i/>
        </w:rPr>
        <w:tab/>
        <w:t>CoC staff/consultant</w:t>
      </w:r>
    </w:p>
    <w:p w:rsidR="00671B4B" w:rsidRPr="002E4CF4" w:rsidRDefault="00671B4B" w:rsidP="00671B4B">
      <w:pPr>
        <w:rPr>
          <w:rFonts w:cstheme="minorHAnsi"/>
          <w:i/>
        </w:rPr>
      </w:pPr>
      <w:r w:rsidRPr="002E4CF4">
        <w:rPr>
          <w:rFonts w:cstheme="minorHAnsi"/>
          <w:i/>
        </w:rPr>
        <w:t xml:space="preserve">    Train regional HMIS leaders on HMIS Train the Trainer</w:t>
      </w:r>
      <w:r w:rsidRPr="002E4CF4">
        <w:rPr>
          <w:rFonts w:cstheme="minorHAnsi"/>
          <w:i/>
        </w:rPr>
        <w:tab/>
        <w:t>16,000</w:t>
      </w:r>
      <w:r w:rsidRPr="002E4CF4">
        <w:rPr>
          <w:rFonts w:cstheme="minorHAnsi"/>
          <w:i/>
        </w:rPr>
        <w:tab/>
      </w:r>
      <w:r w:rsidRPr="002E4CF4">
        <w:rPr>
          <w:rFonts w:cstheme="minorHAnsi"/>
          <w:i/>
        </w:rPr>
        <w:tab/>
        <w:t xml:space="preserve">ICA &amp; small portion to CoC </w:t>
      </w:r>
    </w:p>
    <w:p w:rsidR="00671B4B" w:rsidRPr="002E4CF4" w:rsidRDefault="00671B4B" w:rsidP="00671B4B">
      <w:pPr>
        <w:rPr>
          <w:rFonts w:cstheme="minorHAnsi"/>
          <w:i/>
        </w:rPr>
      </w:pPr>
      <w:r w:rsidRPr="002E4CF4">
        <w:rPr>
          <w:rFonts w:cstheme="minorHAnsi"/>
          <w:i/>
        </w:rPr>
        <w:t xml:space="preserve">    HMIS End User Training - online and on-site</w:t>
      </w:r>
      <w:r w:rsidRPr="002E4CF4">
        <w:rPr>
          <w:rFonts w:cstheme="minorHAnsi"/>
          <w:i/>
        </w:rPr>
        <w:tab/>
        <w:t>28,000</w:t>
      </w:r>
      <w:r w:rsidRPr="002E4CF4">
        <w:rPr>
          <w:rFonts w:cstheme="minorHAnsi"/>
          <w:i/>
        </w:rPr>
        <w:tab/>
      </w:r>
      <w:r w:rsidRPr="002E4CF4">
        <w:rPr>
          <w:rFonts w:cstheme="minorHAnsi"/>
          <w:i/>
        </w:rPr>
        <w:tab/>
        <w:t>ICA</w:t>
      </w:r>
    </w:p>
    <w:p w:rsidR="00671B4B" w:rsidRPr="002E4CF4" w:rsidRDefault="00671B4B" w:rsidP="00671B4B">
      <w:pPr>
        <w:rPr>
          <w:rFonts w:cstheme="minorHAnsi"/>
          <w:i/>
        </w:rPr>
      </w:pPr>
      <w:r w:rsidRPr="002E4CF4">
        <w:rPr>
          <w:rFonts w:cstheme="minorHAnsi"/>
          <w:i/>
        </w:rPr>
        <w:t xml:space="preserve">    Statewide HMIS Monitoring Plan</w:t>
      </w:r>
      <w:r w:rsidRPr="002E4CF4">
        <w:rPr>
          <w:rFonts w:cstheme="minorHAnsi"/>
          <w:i/>
        </w:rPr>
        <w:tab/>
        <w:t>19,670</w:t>
      </w:r>
      <w:r w:rsidRPr="002E4CF4">
        <w:rPr>
          <w:rFonts w:cstheme="minorHAnsi"/>
          <w:i/>
        </w:rPr>
        <w:tab/>
      </w:r>
      <w:r w:rsidRPr="002E4CF4">
        <w:rPr>
          <w:rFonts w:cstheme="minorHAnsi"/>
          <w:i/>
        </w:rPr>
        <w:tab/>
        <w:t xml:space="preserve">CoC - for site visits w/ ICA </w:t>
      </w:r>
    </w:p>
    <w:p w:rsidR="00364A45" w:rsidRPr="002E4CF4" w:rsidRDefault="00671B4B" w:rsidP="00671B4B">
      <w:pPr>
        <w:rPr>
          <w:rFonts w:cstheme="minorHAnsi"/>
          <w:i/>
        </w:rPr>
      </w:pPr>
      <w:r w:rsidRPr="002E4CF4">
        <w:rPr>
          <w:rFonts w:cstheme="minorHAnsi"/>
          <w:i/>
        </w:rPr>
        <w:t>Training - National Conferences (pre-approved) 2 events</w:t>
      </w:r>
      <w:r w:rsidRPr="002E4CF4">
        <w:rPr>
          <w:rFonts w:cstheme="minorHAnsi"/>
          <w:i/>
        </w:rPr>
        <w:tab/>
        <w:t xml:space="preserve"> </w:t>
      </w:r>
      <w:r w:rsidRPr="002E4CF4">
        <w:rPr>
          <w:rFonts w:cstheme="minorHAnsi"/>
          <w:i/>
        </w:rPr>
        <w:tab/>
        <w:t>5,435</w:t>
      </w:r>
      <w:r w:rsidRPr="002E4CF4">
        <w:rPr>
          <w:rFonts w:cstheme="minorHAnsi"/>
          <w:i/>
        </w:rPr>
        <w:tab/>
      </w:r>
      <w:r w:rsidRPr="002E4CF4">
        <w:rPr>
          <w:rFonts w:cstheme="minorHAnsi"/>
          <w:i/>
        </w:rPr>
        <w:tab/>
        <w:t xml:space="preserve">Both  </w:t>
      </w:r>
    </w:p>
    <w:sectPr w:rsidR="00364A45" w:rsidRPr="002E4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00D21"/>
    <w:multiLevelType w:val="multilevel"/>
    <w:tmpl w:val="A600E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1C3110"/>
    <w:multiLevelType w:val="hybridMultilevel"/>
    <w:tmpl w:val="D762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540779"/>
    <w:multiLevelType w:val="multilevel"/>
    <w:tmpl w:val="A8706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1"/>
  </w:num>
  <w:num w:numId="4">
    <w:abstractNumId w:val="24"/>
  </w:num>
  <w:num w:numId="5">
    <w:abstractNumId w:val="14"/>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3"/>
  </w:num>
  <w:num w:numId="21">
    <w:abstractNumId w:val="20"/>
  </w:num>
  <w:num w:numId="22">
    <w:abstractNumId w:val="12"/>
  </w:num>
  <w:num w:numId="23">
    <w:abstractNumId w:val="25"/>
  </w:num>
  <w:num w:numId="24">
    <w:abstractNumId w:val="1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7F"/>
    <w:rsid w:val="00073367"/>
    <w:rsid w:val="000D7509"/>
    <w:rsid w:val="000F6900"/>
    <w:rsid w:val="0019737B"/>
    <w:rsid w:val="001A1209"/>
    <w:rsid w:val="002413B2"/>
    <w:rsid w:val="0025397D"/>
    <w:rsid w:val="002D7C4C"/>
    <w:rsid w:val="002E4CF4"/>
    <w:rsid w:val="0034390C"/>
    <w:rsid w:val="00357C97"/>
    <w:rsid w:val="00364A45"/>
    <w:rsid w:val="00384A34"/>
    <w:rsid w:val="00393496"/>
    <w:rsid w:val="003D6DD7"/>
    <w:rsid w:val="003E3F02"/>
    <w:rsid w:val="00415BB3"/>
    <w:rsid w:val="004362C5"/>
    <w:rsid w:val="004D4B26"/>
    <w:rsid w:val="004E2825"/>
    <w:rsid w:val="004F2EBD"/>
    <w:rsid w:val="005B7859"/>
    <w:rsid w:val="005C2DD5"/>
    <w:rsid w:val="00626131"/>
    <w:rsid w:val="00637D57"/>
    <w:rsid w:val="00645252"/>
    <w:rsid w:val="00652AF6"/>
    <w:rsid w:val="00664357"/>
    <w:rsid w:val="00671B4B"/>
    <w:rsid w:val="00684377"/>
    <w:rsid w:val="006B7D0E"/>
    <w:rsid w:val="006D3D74"/>
    <w:rsid w:val="006E05EB"/>
    <w:rsid w:val="006F031E"/>
    <w:rsid w:val="00726EB6"/>
    <w:rsid w:val="00733409"/>
    <w:rsid w:val="00771BBD"/>
    <w:rsid w:val="00790A32"/>
    <w:rsid w:val="007A3893"/>
    <w:rsid w:val="007B5BBE"/>
    <w:rsid w:val="007E5C58"/>
    <w:rsid w:val="0083569A"/>
    <w:rsid w:val="00900B16"/>
    <w:rsid w:val="00940DB8"/>
    <w:rsid w:val="00985774"/>
    <w:rsid w:val="009878F2"/>
    <w:rsid w:val="00A751F7"/>
    <w:rsid w:val="00A9204E"/>
    <w:rsid w:val="00AA0F80"/>
    <w:rsid w:val="00AA2E7E"/>
    <w:rsid w:val="00AB1D5D"/>
    <w:rsid w:val="00AF0546"/>
    <w:rsid w:val="00B03BA5"/>
    <w:rsid w:val="00B15B69"/>
    <w:rsid w:val="00B95308"/>
    <w:rsid w:val="00BC7F90"/>
    <w:rsid w:val="00BF48F2"/>
    <w:rsid w:val="00BF6C88"/>
    <w:rsid w:val="00C804C0"/>
    <w:rsid w:val="00CA65A5"/>
    <w:rsid w:val="00D50476"/>
    <w:rsid w:val="00D63751"/>
    <w:rsid w:val="00D747C1"/>
    <w:rsid w:val="00DB6B7F"/>
    <w:rsid w:val="00DC593B"/>
    <w:rsid w:val="00DD714A"/>
    <w:rsid w:val="00DE196F"/>
    <w:rsid w:val="00E02666"/>
    <w:rsid w:val="00E5624B"/>
    <w:rsid w:val="00E973E9"/>
    <w:rsid w:val="00EB4D96"/>
    <w:rsid w:val="00F31030"/>
    <w:rsid w:val="00FD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F9062-8672-43CD-AFF3-D0337DF3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DD714A"/>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15BB3"/>
    <w:pPr>
      <w:spacing w:after="120"/>
    </w:pPr>
  </w:style>
  <w:style w:type="character" w:customStyle="1" w:styleId="BodyTextChar">
    <w:name w:val="Body Text Char"/>
    <w:basedOn w:val="DefaultParagraphFont"/>
    <w:link w:val="BodyText"/>
    <w:uiPriority w:val="99"/>
    <w:semiHidden/>
    <w:rsid w:val="00415BB3"/>
  </w:style>
  <w:style w:type="paragraph" w:customStyle="1" w:styleId="xxmsonormal">
    <w:name w:val="x_xmsonormal"/>
    <w:basedOn w:val="Normal"/>
    <w:uiPriority w:val="99"/>
    <w:rsid w:val="00671B4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870">
      <w:bodyDiv w:val="1"/>
      <w:marLeft w:val="0"/>
      <w:marRight w:val="0"/>
      <w:marTop w:val="0"/>
      <w:marBottom w:val="0"/>
      <w:divBdr>
        <w:top w:val="none" w:sz="0" w:space="0" w:color="auto"/>
        <w:left w:val="none" w:sz="0" w:space="0" w:color="auto"/>
        <w:bottom w:val="none" w:sz="0" w:space="0" w:color="auto"/>
        <w:right w:val="none" w:sz="0" w:space="0" w:color="auto"/>
      </w:divBdr>
    </w:div>
    <w:div w:id="113986953">
      <w:bodyDiv w:val="1"/>
      <w:marLeft w:val="0"/>
      <w:marRight w:val="0"/>
      <w:marTop w:val="0"/>
      <w:marBottom w:val="0"/>
      <w:divBdr>
        <w:top w:val="none" w:sz="0" w:space="0" w:color="auto"/>
        <w:left w:val="none" w:sz="0" w:space="0" w:color="auto"/>
        <w:bottom w:val="none" w:sz="0" w:space="0" w:color="auto"/>
        <w:right w:val="none" w:sz="0" w:space="0" w:color="auto"/>
      </w:divBdr>
    </w:div>
    <w:div w:id="247615270">
      <w:bodyDiv w:val="1"/>
      <w:marLeft w:val="0"/>
      <w:marRight w:val="0"/>
      <w:marTop w:val="0"/>
      <w:marBottom w:val="0"/>
      <w:divBdr>
        <w:top w:val="none" w:sz="0" w:space="0" w:color="auto"/>
        <w:left w:val="none" w:sz="0" w:space="0" w:color="auto"/>
        <w:bottom w:val="none" w:sz="0" w:space="0" w:color="auto"/>
        <w:right w:val="none" w:sz="0" w:space="0" w:color="auto"/>
      </w:divBdr>
    </w:div>
    <w:div w:id="350952988">
      <w:bodyDiv w:val="1"/>
      <w:marLeft w:val="0"/>
      <w:marRight w:val="0"/>
      <w:marTop w:val="0"/>
      <w:marBottom w:val="0"/>
      <w:divBdr>
        <w:top w:val="none" w:sz="0" w:space="0" w:color="auto"/>
        <w:left w:val="none" w:sz="0" w:space="0" w:color="auto"/>
        <w:bottom w:val="none" w:sz="0" w:space="0" w:color="auto"/>
        <w:right w:val="none" w:sz="0" w:space="0" w:color="auto"/>
      </w:divBdr>
    </w:div>
    <w:div w:id="467435398">
      <w:bodyDiv w:val="1"/>
      <w:marLeft w:val="0"/>
      <w:marRight w:val="0"/>
      <w:marTop w:val="0"/>
      <w:marBottom w:val="0"/>
      <w:divBdr>
        <w:top w:val="none" w:sz="0" w:space="0" w:color="auto"/>
        <w:left w:val="none" w:sz="0" w:space="0" w:color="auto"/>
        <w:bottom w:val="none" w:sz="0" w:space="0" w:color="auto"/>
        <w:right w:val="none" w:sz="0" w:space="0" w:color="auto"/>
      </w:divBdr>
    </w:div>
    <w:div w:id="647249456">
      <w:bodyDiv w:val="1"/>
      <w:marLeft w:val="0"/>
      <w:marRight w:val="0"/>
      <w:marTop w:val="0"/>
      <w:marBottom w:val="0"/>
      <w:divBdr>
        <w:top w:val="none" w:sz="0" w:space="0" w:color="auto"/>
        <w:left w:val="none" w:sz="0" w:space="0" w:color="auto"/>
        <w:bottom w:val="none" w:sz="0" w:space="0" w:color="auto"/>
        <w:right w:val="none" w:sz="0" w:space="0" w:color="auto"/>
      </w:divBdr>
    </w:div>
    <w:div w:id="727803881">
      <w:bodyDiv w:val="1"/>
      <w:marLeft w:val="0"/>
      <w:marRight w:val="0"/>
      <w:marTop w:val="0"/>
      <w:marBottom w:val="0"/>
      <w:divBdr>
        <w:top w:val="none" w:sz="0" w:space="0" w:color="auto"/>
        <w:left w:val="none" w:sz="0" w:space="0" w:color="auto"/>
        <w:bottom w:val="none" w:sz="0" w:space="0" w:color="auto"/>
        <w:right w:val="none" w:sz="0" w:space="0" w:color="auto"/>
      </w:divBdr>
    </w:div>
    <w:div w:id="1192761820">
      <w:bodyDiv w:val="1"/>
      <w:marLeft w:val="0"/>
      <w:marRight w:val="0"/>
      <w:marTop w:val="0"/>
      <w:marBottom w:val="0"/>
      <w:divBdr>
        <w:top w:val="none" w:sz="0" w:space="0" w:color="auto"/>
        <w:left w:val="none" w:sz="0" w:space="0" w:color="auto"/>
        <w:bottom w:val="none" w:sz="0" w:space="0" w:color="auto"/>
        <w:right w:val="none" w:sz="0" w:space="0" w:color="auto"/>
      </w:divBdr>
    </w:div>
    <w:div w:id="1283726964">
      <w:bodyDiv w:val="1"/>
      <w:marLeft w:val="0"/>
      <w:marRight w:val="0"/>
      <w:marTop w:val="0"/>
      <w:marBottom w:val="0"/>
      <w:divBdr>
        <w:top w:val="none" w:sz="0" w:space="0" w:color="auto"/>
        <w:left w:val="none" w:sz="0" w:space="0" w:color="auto"/>
        <w:bottom w:val="none" w:sz="0" w:space="0" w:color="auto"/>
        <w:right w:val="none" w:sz="0" w:space="0" w:color="auto"/>
      </w:divBdr>
    </w:div>
    <w:div w:id="1533809789">
      <w:bodyDiv w:val="1"/>
      <w:marLeft w:val="0"/>
      <w:marRight w:val="0"/>
      <w:marTop w:val="0"/>
      <w:marBottom w:val="0"/>
      <w:divBdr>
        <w:top w:val="none" w:sz="0" w:space="0" w:color="auto"/>
        <w:left w:val="none" w:sz="0" w:space="0" w:color="auto"/>
        <w:bottom w:val="none" w:sz="0" w:space="0" w:color="auto"/>
        <w:right w:val="none" w:sz="0" w:space="0" w:color="auto"/>
      </w:divBdr>
    </w:div>
    <w:div w:id="186177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Hartman\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http://www.w3.org/XML/1998/namespace"/>
    <ds:schemaRef ds:uri="http://schemas.openxmlformats.org/package/2006/metadata/core-properties"/>
    <ds:schemaRef ds:uri="4873beb7-5857-4685-be1f-d57550cc96cc"/>
    <ds:schemaRef ds:uri="http://schemas.microsoft.com/office/infopath/2007/PartnerControls"/>
    <ds:schemaRef ds:uri="http://purl.org/dc/dcmitype/"/>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1</TotalTime>
  <Pages>1</Pages>
  <Words>323</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Hartman</dc:creator>
  <cp:keywords/>
  <dc:description/>
  <cp:lastModifiedBy>Willer, Shawnel M.</cp:lastModifiedBy>
  <cp:revision>2</cp:revision>
  <cp:lastPrinted>2020-04-28T19:51:00Z</cp:lastPrinted>
  <dcterms:created xsi:type="dcterms:W3CDTF">2020-04-28T21:56:00Z</dcterms:created>
  <dcterms:modified xsi:type="dcterms:W3CDTF">2020-04-28T21:56:00Z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